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41" w:rsidRDefault="00A54C41" w:rsidP="00A54C41">
      <w:pPr>
        <w:suppressAutoHyphens/>
        <w:spacing w:line="100" w:lineRule="atLeast"/>
        <w:jc w:val="center"/>
        <w:rPr>
          <w:lang w:eastAsia="zh-CN"/>
        </w:rPr>
      </w:pPr>
      <w:r>
        <w:rPr>
          <w:lang w:eastAsia="zh-CN"/>
        </w:rPr>
        <w:t xml:space="preserve">     </w:t>
      </w:r>
    </w:p>
    <w:p w:rsidR="00A54C41" w:rsidRDefault="00A54C41" w:rsidP="00A54C41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t>РОССИЙСКАЯ ФЕДЕРАЦИЯ</w:t>
      </w:r>
    </w:p>
    <w:p w:rsidR="00A54C41" w:rsidRDefault="00A54C41" w:rsidP="00A54C4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A54C41" w:rsidRDefault="00A54C41" w:rsidP="00A54C41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ЕГОРЛЫКСКИЙ РАЙОН</w:t>
      </w:r>
    </w:p>
    <w:p w:rsidR="00A54C41" w:rsidRDefault="00A54C41" w:rsidP="00A54C41">
      <w:pPr>
        <w:jc w:val="center"/>
        <w:rPr>
          <w:sz w:val="32"/>
          <w:szCs w:val="32"/>
        </w:rPr>
      </w:pPr>
    </w:p>
    <w:p w:rsidR="00A54C41" w:rsidRDefault="00A54C41" w:rsidP="00A54C41">
      <w:pPr>
        <w:jc w:val="center"/>
        <w:rPr>
          <w:sz w:val="28"/>
          <w:szCs w:val="22"/>
        </w:rPr>
      </w:pPr>
      <w:r>
        <w:rPr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Look w:val="04A0"/>
      </w:tblPr>
      <w:tblGrid>
        <w:gridCol w:w="4127"/>
        <w:gridCol w:w="1116"/>
        <w:gridCol w:w="1259"/>
        <w:gridCol w:w="3069"/>
      </w:tblGrid>
      <w:tr w:rsidR="00A54C41" w:rsidTr="00A54C41">
        <w:trPr>
          <w:jc w:val="center"/>
        </w:trPr>
        <w:tc>
          <w:tcPr>
            <w:tcW w:w="9571" w:type="dxa"/>
            <w:gridSpan w:val="4"/>
            <w:hideMark/>
          </w:tcPr>
          <w:p w:rsidR="00A54C41" w:rsidRDefault="00A54C41">
            <w:pPr>
              <w:pStyle w:val="af7"/>
              <w:spacing w:line="276" w:lineRule="auto"/>
              <w:jc w:val="center"/>
              <w:rPr>
                <w:bCs/>
                <w:sz w:val="28"/>
              </w:rPr>
            </w:pPr>
          </w:p>
          <w:p w:rsidR="00A54C41" w:rsidRDefault="00A54C41">
            <w:pPr>
              <w:pStyle w:val="af7"/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Решение</w:t>
            </w:r>
          </w:p>
        </w:tc>
      </w:tr>
      <w:tr w:rsidR="00A54C41" w:rsidTr="00A54C41">
        <w:trPr>
          <w:jc w:val="center"/>
        </w:trPr>
        <w:tc>
          <w:tcPr>
            <w:tcW w:w="9571" w:type="dxa"/>
            <w:gridSpan w:val="4"/>
          </w:tcPr>
          <w:p w:rsidR="00A54C41" w:rsidRDefault="00A54C41">
            <w:pPr>
              <w:pStyle w:val="af7"/>
              <w:spacing w:line="276" w:lineRule="auto"/>
              <w:jc w:val="both"/>
              <w:rPr>
                <w:bCs/>
                <w:sz w:val="28"/>
              </w:rPr>
            </w:pPr>
          </w:p>
        </w:tc>
      </w:tr>
      <w:tr w:rsidR="00A54C41" w:rsidTr="00A54C41">
        <w:trPr>
          <w:jc w:val="center"/>
        </w:trPr>
        <w:tc>
          <w:tcPr>
            <w:tcW w:w="4127" w:type="dxa"/>
            <w:hideMark/>
          </w:tcPr>
          <w:p w:rsidR="00A54C41" w:rsidRDefault="00A54C41">
            <w:pPr>
              <w:pStyle w:val="af7"/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29 ноября  2021 года</w:t>
            </w:r>
          </w:p>
        </w:tc>
        <w:tc>
          <w:tcPr>
            <w:tcW w:w="1116" w:type="dxa"/>
            <w:hideMark/>
          </w:tcPr>
          <w:p w:rsidR="00A54C41" w:rsidRDefault="00A54C41" w:rsidP="00A54C41">
            <w:pPr>
              <w:pStyle w:val="af7"/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№ 12</w:t>
            </w:r>
          </w:p>
        </w:tc>
        <w:tc>
          <w:tcPr>
            <w:tcW w:w="1259" w:type="dxa"/>
          </w:tcPr>
          <w:p w:rsidR="00A54C41" w:rsidRDefault="00A54C41">
            <w:pPr>
              <w:pStyle w:val="af7"/>
              <w:spacing w:line="276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</w:t>
            </w:r>
          </w:p>
        </w:tc>
        <w:tc>
          <w:tcPr>
            <w:tcW w:w="3069" w:type="dxa"/>
          </w:tcPr>
          <w:p w:rsidR="00A54C41" w:rsidRDefault="00A54C41">
            <w:pPr>
              <w:pStyle w:val="af7"/>
              <w:spacing w:line="276" w:lineRule="auto"/>
              <w:jc w:val="center"/>
              <w:rPr>
                <w:rFonts w:eastAsia="Courier New"/>
                <w:bCs/>
                <w:sz w:val="28"/>
              </w:rPr>
            </w:pPr>
            <w:r>
              <w:rPr>
                <w:bCs/>
                <w:sz w:val="28"/>
              </w:rPr>
              <w:t>х. Шаумяновский</w:t>
            </w:r>
          </w:p>
          <w:p w:rsidR="00A54C41" w:rsidRDefault="00A54C41">
            <w:pPr>
              <w:pStyle w:val="af7"/>
              <w:spacing w:line="276" w:lineRule="auto"/>
              <w:jc w:val="center"/>
              <w:rPr>
                <w:bCs/>
                <w:sz w:val="28"/>
              </w:rPr>
            </w:pPr>
          </w:p>
        </w:tc>
      </w:tr>
    </w:tbl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C17EBC" w:rsidRDefault="00D03C14" w:rsidP="00D03C14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C17EBC" w:rsidRPr="00C17EBC">
        <w:rPr>
          <w:b/>
          <w:bCs/>
          <w:color w:val="000000"/>
          <w:sz w:val="28"/>
          <w:szCs w:val="28"/>
        </w:rPr>
        <w:t>Шаумяновского сельского поселения</w:t>
      </w:r>
      <w:r w:rsidRPr="00C17EBC">
        <w:rPr>
          <w:i/>
          <w:iCs/>
          <w:color w:val="000000"/>
          <w:sz w:val="28"/>
          <w:szCs w:val="28"/>
        </w:rPr>
        <w:t>)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C17EBC" w:rsidRDefault="00C17EBC" w:rsidP="00C17E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03C14"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 w:rsidRPr="00C17EBC">
        <w:rPr>
          <w:sz w:val="28"/>
          <w:szCs w:val="28"/>
        </w:rPr>
        <w:t xml:space="preserve"> </w:t>
      </w:r>
      <w:r w:rsidRPr="00C42498">
        <w:rPr>
          <w:sz w:val="28"/>
          <w:szCs w:val="28"/>
        </w:rPr>
        <w:t>муниципального образования «Шаумяновское сельское поселение»,</w:t>
      </w:r>
      <w:r>
        <w:rPr>
          <w:sz w:val="28"/>
          <w:szCs w:val="28"/>
        </w:rPr>
        <w:t xml:space="preserve">  </w:t>
      </w:r>
    </w:p>
    <w:p w:rsidR="00C17EBC" w:rsidRDefault="00C17EBC" w:rsidP="00C17EBC">
      <w:pPr>
        <w:jc w:val="both"/>
        <w:rPr>
          <w:sz w:val="28"/>
          <w:szCs w:val="28"/>
        </w:rPr>
      </w:pPr>
    </w:p>
    <w:p w:rsidR="00D03C14" w:rsidRDefault="00C17EBC" w:rsidP="00C17E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D03C14"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="00D03C14" w:rsidRPr="00700821">
        <w:rPr>
          <w:sz w:val="28"/>
          <w:szCs w:val="28"/>
        </w:rPr>
        <w:t>:</w:t>
      </w:r>
    </w:p>
    <w:p w:rsidR="00C17EBC" w:rsidRPr="00700821" w:rsidRDefault="00C17EBC" w:rsidP="00C17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C17EBC">
        <w:rPr>
          <w:color w:val="000000"/>
          <w:sz w:val="28"/>
          <w:szCs w:val="28"/>
        </w:rPr>
        <w:t>Шаумяновского сельского поселения.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C17EBC">
        <w:rPr>
          <w:color w:val="000000"/>
          <w:sz w:val="28"/>
          <w:szCs w:val="28"/>
        </w:rPr>
        <w:t>Шаумяновского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C17EBC">
        <w:rPr>
          <w:color w:val="000000"/>
          <w:sz w:val="28"/>
          <w:szCs w:val="28"/>
        </w:rPr>
        <w:t>Шаумяновского сельского поселения</w:t>
      </w:r>
      <w:r w:rsidR="00C17EBC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17EBC" w:rsidRDefault="00C17EBC" w:rsidP="00C17EBC">
      <w:pPr>
        <w:jc w:val="both"/>
        <w:rPr>
          <w:sz w:val="26"/>
          <w:szCs w:val="26"/>
        </w:rPr>
      </w:pPr>
    </w:p>
    <w:p w:rsidR="00C17EBC" w:rsidRDefault="00C17EBC" w:rsidP="00C17EBC">
      <w:pPr>
        <w:jc w:val="both"/>
        <w:rPr>
          <w:sz w:val="26"/>
          <w:szCs w:val="26"/>
        </w:rPr>
      </w:pPr>
    </w:p>
    <w:p w:rsidR="00C17EBC" w:rsidRPr="00B13ACB" w:rsidRDefault="00C17EBC" w:rsidP="00C17EBC">
      <w:pPr>
        <w:jc w:val="both"/>
        <w:rPr>
          <w:sz w:val="26"/>
          <w:szCs w:val="26"/>
        </w:rPr>
      </w:pPr>
      <w:r w:rsidRPr="00B13ACB">
        <w:rPr>
          <w:sz w:val="26"/>
          <w:szCs w:val="26"/>
        </w:rPr>
        <w:t>Председатель Собрания депутатов-</w:t>
      </w:r>
    </w:p>
    <w:p w:rsidR="00C17EBC" w:rsidRDefault="00C17EBC" w:rsidP="00C17EBC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3ACB">
        <w:rPr>
          <w:sz w:val="26"/>
          <w:szCs w:val="26"/>
        </w:rPr>
        <w:t>глава  Шаумяновского сельского поселения</w:t>
      </w:r>
      <w:r w:rsidRPr="00B13ACB">
        <w:rPr>
          <w:sz w:val="26"/>
          <w:szCs w:val="26"/>
        </w:rPr>
        <w:tab/>
      </w:r>
      <w:r w:rsidRPr="00B13ACB">
        <w:t xml:space="preserve"> </w:t>
      </w:r>
      <w:r w:rsidRPr="00B13ACB">
        <w:rPr>
          <w:sz w:val="28"/>
          <w:szCs w:val="28"/>
        </w:rPr>
        <w:t xml:space="preserve">                              Х.Н. Нерсесян</w:t>
      </w:r>
    </w:p>
    <w:p w:rsidR="00D03C14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C17EBC" w:rsidRPr="00700821" w:rsidRDefault="00C17EBC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C17EBC" w:rsidRPr="00C17EBC">
        <w:rPr>
          <w:bCs/>
          <w:color w:val="000000"/>
        </w:rPr>
        <w:t>Собрания депутатов Шаумяновского сельского поселения</w:t>
      </w:r>
    </w:p>
    <w:p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C17EBC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C17EBC" w:rsidRPr="00C17EBC">
        <w:rPr>
          <w:b/>
          <w:color w:val="000000"/>
          <w:sz w:val="28"/>
          <w:szCs w:val="28"/>
        </w:rPr>
        <w:t>Шаумяновского сельского поселения</w:t>
      </w:r>
      <w:r w:rsidR="00C17EBC">
        <w:rPr>
          <w:b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17EBC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17EBC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C17EBC" w:rsidRPr="00C17EBC">
        <w:rPr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17EBC">
        <w:rPr>
          <w:color w:val="000000"/>
          <w:sz w:val="28"/>
          <w:szCs w:val="28"/>
        </w:rPr>
        <w:t>ведущий специалист по вопросам муниципального хозяйства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BC7700">
        <w:rPr>
          <w:sz w:val="28"/>
          <w:szCs w:val="28"/>
        </w:rPr>
        <w:t xml:space="preserve">Ростовской области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</w:t>
      </w:r>
      <w:r w:rsidRPr="00700821">
        <w:rPr>
          <w:color w:val="000000"/>
          <w:sz w:val="28"/>
          <w:szCs w:val="28"/>
        </w:rPr>
        <w:lastRenderedPageBreak/>
        <w:t>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61B72" w:rsidRPr="00C17EBC">
        <w:rPr>
          <w:color w:val="000000"/>
          <w:sz w:val="28"/>
          <w:szCs w:val="28"/>
        </w:rPr>
        <w:t>Шаумяновского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61B72" w:rsidRPr="00C17EBC">
        <w:rPr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C61B72" w:rsidRPr="00C17EBC">
        <w:rPr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700821">
        <w:rPr>
          <w:color w:val="000000"/>
          <w:sz w:val="28"/>
          <w:szCs w:val="28"/>
        </w:rPr>
        <w:lastRenderedPageBreak/>
        <w:t xml:space="preserve">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61B72" w:rsidRPr="00C61B72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C61B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C61B72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>Шаумяновского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C61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C61B7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C61B72" w:rsidRPr="00C17EBC">
        <w:rPr>
          <w:rFonts w:ascii="Times New Roman" w:hAnsi="Times New Roman" w:cs="Times New Roman"/>
          <w:color w:val="000000"/>
          <w:sz w:val="28"/>
          <w:szCs w:val="28"/>
        </w:rPr>
        <w:t xml:space="preserve">Шаумяновского сельского поселения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61B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61B72" w:rsidRPr="00C61B72">
        <w:rPr>
          <w:rFonts w:ascii="Times New Roman" w:hAnsi="Times New Roman" w:cs="Times New Roman"/>
          <w:bCs/>
          <w:color w:val="000000"/>
          <w:sz w:val="28"/>
          <w:szCs w:val="28"/>
        </w:rPr>
        <w:t>обранием депутатов Шаумяновского сельского поселения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814556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56" w:rsidRDefault="00814556" w:rsidP="00D03C14">
      <w:r>
        <w:separator/>
      </w:r>
    </w:p>
  </w:endnote>
  <w:endnote w:type="continuationSeparator" w:id="1">
    <w:p w:rsidR="00814556" w:rsidRDefault="0081455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56" w:rsidRDefault="00814556" w:rsidP="00D03C14">
      <w:r>
        <w:separator/>
      </w:r>
    </w:p>
  </w:footnote>
  <w:footnote w:type="continuationSeparator" w:id="1">
    <w:p w:rsidR="00814556" w:rsidRDefault="00814556" w:rsidP="00D03C14">
      <w:r>
        <w:continuationSeparator/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C692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1455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C692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54C41">
      <w:rPr>
        <w:rStyle w:val="afb"/>
        <w:noProof/>
      </w:rPr>
      <w:t>28</w:t>
    </w:r>
    <w:r>
      <w:rPr>
        <w:rStyle w:val="afb"/>
      </w:rPr>
      <w:fldChar w:fldCharType="end"/>
    </w:r>
  </w:p>
  <w:p w:rsidR="00E90F25" w:rsidRDefault="008145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2837E7"/>
    <w:rsid w:val="00654EA6"/>
    <w:rsid w:val="0068374B"/>
    <w:rsid w:val="007100F8"/>
    <w:rsid w:val="00814556"/>
    <w:rsid w:val="008629D3"/>
    <w:rsid w:val="008F6376"/>
    <w:rsid w:val="00935631"/>
    <w:rsid w:val="009D07EB"/>
    <w:rsid w:val="00A2562A"/>
    <w:rsid w:val="00A54C41"/>
    <w:rsid w:val="00BC7700"/>
    <w:rsid w:val="00C17EBC"/>
    <w:rsid w:val="00C273E6"/>
    <w:rsid w:val="00C61B72"/>
    <w:rsid w:val="00D03C14"/>
    <w:rsid w:val="00D73DF2"/>
    <w:rsid w:val="00DA79BD"/>
    <w:rsid w:val="00E03DB5"/>
    <w:rsid w:val="00F408C0"/>
    <w:rsid w:val="00FC296B"/>
    <w:rsid w:val="00FC692F"/>
    <w:rsid w:val="00FC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0F18-867C-41D7-B216-8D5226D6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6674</Words>
  <Characters>38045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2021-10-01T03:39:00Z</cp:lastPrinted>
  <dcterms:created xsi:type="dcterms:W3CDTF">2021-11-29T11:54:00Z</dcterms:created>
  <dcterms:modified xsi:type="dcterms:W3CDTF">2021-11-29T11:54:00Z</dcterms:modified>
</cp:coreProperties>
</file>