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182595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3ACB" w:rsidRPr="00B13ACB" w:rsidRDefault="00B13ACB" w:rsidP="00B13ACB">
      <w:pPr>
        <w:jc w:val="center"/>
        <w:rPr>
          <w:rFonts w:ascii="Times New Roman" w:hAnsi="Times New Roman" w:cs="Times New Roman"/>
          <w:sz w:val="28"/>
        </w:rPr>
      </w:pPr>
      <w:r w:rsidRPr="00B13ACB"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000"/>
      </w:tblPr>
      <w:tblGrid>
        <w:gridCol w:w="4128"/>
        <w:gridCol w:w="1116"/>
        <w:gridCol w:w="1258"/>
        <w:gridCol w:w="3069"/>
      </w:tblGrid>
      <w:tr w:rsidR="00B13ACB" w:rsidRPr="00B13ACB" w:rsidTr="009110F0">
        <w:trPr>
          <w:jc w:val="center"/>
        </w:trPr>
        <w:tc>
          <w:tcPr>
            <w:tcW w:w="9853" w:type="dxa"/>
            <w:gridSpan w:val="4"/>
          </w:tcPr>
          <w:p w:rsidR="00B13ACB" w:rsidRP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B13ACB" w:rsidRPr="00B13ACB" w:rsidTr="009110F0">
        <w:trPr>
          <w:jc w:val="center"/>
        </w:trPr>
        <w:tc>
          <w:tcPr>
            <w:tcW w:w="9853" w:type="dxa"/>
            <w:gridSpan w:val="4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13ACB" w:rsidRPr="00B13ACB" w:rsidTr="009110F0">
        <w:trPr>
          <w:jc w:val="center"/>
        </w:trPr>
        <w:tc>
          <w:tcPr>
            <w:tcW w:w="4284" w:type="dxa"/>
          </w:tcPr>
          <w:p w:rsidR="00B13ACB" w:rsidRPr="00B13ACB" w:rsidRDefault="00B13ACB" w:rsidP="00BD638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  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 xml:space="preserve">09 июля </w:t>
            </w:r>
            <w:r w:rsidRPr="00B13ACB">
              <w:rPr>
                <w:rFonts w:ascii="Times New Roman" w:hAnsi="Times New Roman" w:cs="Times New Roman"/>
                <w:bCs/>
                <w:sz w:val="28"/>
              </w:rPr>
              <w:t>2019 г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>ода</w:t>
            </w:r>
          </w:p>
        </w:tc>
        <w:tc>
          <w:tcPr>
            <w:tcW w:w="1145" w:type="dxa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>77</w:t>
            </w:r>
          </w:p>
        </w:tc>
        <w:tc>
          <w:tcPr>
            <w:tcW w:w="1307" w:type="dxa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117" w:type="dxa"/>
          </w:tcPr>
          <w:p w:rsidR="00B13ACB" w:rsidRP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х. </w:t>
            </w:r>
            <w:proofErr w:type="spellStart"/>
            <w:r w:rsidRPr="00B13ACB">
              <w:rPr>
                <w:rFonts w:ascii="Times New Roman" w:hAnsi="Times New Roman" w:cs="Times New Roman"/>
                <w:bCs/>
                <w:sz w:val="28"/>
              </w:rPr>
              <w:t>Шаумяновский</w:t>
            </w:r>
            <w:proofErr w:type="spellEnd"/>
          </w:p>
        </w:tc>
      </w:tr>
    </w:tbl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18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</w:t>
      </w:r>
      <w:proofErr w:type="gramStart"/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1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Шаумяновском</w:t>
      </w:r>
      <w:proofErr w:type="gramEnd"/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B74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</w:t>
      </w: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Шаумяновском</w:t>
      </w:r>
      <w:proofErr w:type="gram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содержания крупного рогатого скота, лошадей и свиней, домашних животных, птицы и пчёл в населенн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Интернет сайте Администрации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CB" w:rsidRPr="00B13ACB" w:rsidRDefault="00B13ACB" w:rsidP="00BD6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ACB"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B13ACB" w:rsidRPr="00B13ACB" w:rsidRDefault="00B13ACB" w:rsidP="00BD638A">
      <w:pPr>
        <w:spacing w:after="0"/>
        <w:jc w:val="both"/>
        <w:rPr>
          <w:rFonts w:ascii="Times New Roman" w:hAnsi="Times New Roman" w:cs="Times New Roman"/>
        </w:rPr>
      </w:pPr>
      <w:r w:rsidRPr="00B13ACB">
        <w:rPr>
          <w:rFonts w:ascii="Times New Roman" w:hAnsi="Times New Roman" w:cs="Times New Roman"/>
          <w:sz w:val="26"/>
          <w:szCs w:val="26"/>
        </w:rPr>
        <w:t>глава  Шаумяновского сельского поселения</w:t>
      </w:r>
      <w:r w:rsidRPr="00B13ACB">
        <w:rPr>
          <w:rFonts w:ascii="Times New Roman" w:hAnsi="Times New Roman" w:cs="Times New Roman"/>
          <w:sz w:val="26"/>
          <w:szCs w:val="26"/>
        </w:rPr>
        <w:tab/>
      </w:r>
      <w:r w:rsidRPr="00B13ACB">
        <w:rPr>
          <w:rFonts w:ascii="Times New Roman" w:hAnsi="Times New Roman" w:cs="Times New Roman"/>
        </w:rPr>
        <w:t xml:space="preserve"> </w:t>
      </w:r>
      <w:r w:rsidRPr="00B13ACB">
        <w:rPr>
          <w:rFonts w:ascii="Times New Roman" w:hAnsi="Times New Roman" w:cs="Times New Roman"/>
          <w:sz w:val="28"/>
          <w:szCs w:val="28"/>
        </w:rPr>
        <w:t xml:space="preserve">                              Х.Н. Нерсесян</w:t>
      </w: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430E8" w:rsidRDefault="008430E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34494" w:rsidRDefault="00E34494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B13ACB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Шаумяновского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B13ACB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   </w:t>
      </w:r>
      <w:r w:rsidR="00BD638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09.07.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2019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 w:rsidR="00535C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BD638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77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1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ШАУМЯНОВСКОМ</w:t>
      </w:r>
      <w:proofErr w:type="gramEnd"/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содержания домашних животных в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независимо от организационно-правовых форм и форм собственности, находящиеся на территории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место обитания животного (адрес и подробное описание места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 бытовым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интересов собственников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5.23.3. При содержании разных видов птиц на подворьях необходимо обеспечить раздельное их содержание. Разные виды птиц содержат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5.23.5. 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лотности посадки птицы на 1 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5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729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содержания домашних животных и птицы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Шаумяновском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утвержденных Решением Собрания депутатов </w:t>
      </w:r>
    </w:p>
    <w:p w:rsidR="00DD60DD" w:rsidRPr="003D524A" w:rsidRDefault="00B13ACB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535C24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D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3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3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BD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сбора сельскохозяйственных животных в </w:t>
      </w:r>
    </w:p>
    <w:p w:rsidR="00DD60DD" w:rsidRPr="003D524A" w:rsidRDefault="00B13ACB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Шаумяновском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</w:t>
      </w:r>
      <w:proofErr w:type="gramStart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поселении</w:t>
      </w:r>
      <w:proofErr w:type="gramEnd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прогона их на места выпаса</w:t>
      </w: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8C0ABC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D60DD" w:rsidRPr="003D524A" w:rsidRDefault="008C0ABC" w:rsidP="008C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тада</w:t>
            </w: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,№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стада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сбора животных в стадо</w:t>
            </w: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0E1B6A"/>
    <w:rsid w:val="00182595"/>
    <w:rsid w:val="002745CF"/>
    <w:rsid w:val="00281013"/>
    <w:rsid w:val="0029315A"/>
    <w:rsid w:val="003251FA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35C24"/>
    <w:rsid w:val="00540A67"/>
    <w:rsid w:val="0057356E"/>
    <w:rsid w:val="005908CA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7F06BF"/>
    <w:rsid w:val="008430E8"/>
    <w:rsid w:val="0087050F"/>
    <w:rsid w:val="008C0ABC"/>
    <w:rsid w:val="009C20FF"/>
    <w:rsid w:val="00A73303"/>
    <w:rsid w:val="00AB695B"/>
    <w:rsid w:val="00AC12C1"/>
    <w:rsid w:val="00B11DEE"/>
    <w:rsid w:val="00B13ACB"/>
    <w:rsid w:val="00B25997"/>
    <w:rsid w:val="00B35885"/>
    <w:rsid w:val="00B7455F"/>
    <w:rsid w:val="00BB1F0C"/>
    <w:rsid w:val="00BD638A"/>
    <w:rsid w:val="00C512C0"/>
    <w:rsid w:val="00C71DEA"/>
    <w:rsid w:val="00C913BC"/>
    <w:rsid w:val="00D12A6D"/>
    <w:rsid w:val="00D64E7A"/>
    <w:rsid w:val="00DD60DD"/>
    <w:rsid w:val="00E14016"/>
    <w:rsid w:val="00E34494"/>
    <w:rsid w:val="00E40729"/>
    <w:rsid w:val="00E4366A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34B4-22C3-49BF-9332-B611AE83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cp:lastPrinted>2019-07-19T11:11:00Z</cp:lastPrinted>
  <dcterms:created xsi:type="dcterms:W3CDTF">2019-06-26T08:59:00Z</dcterms:created>
  <dcterms:modified xsi:type="dcterms:W3CDTF">2019-07-19T11:21:00Z</dcterms:modified>
</cp:coreProperties>
</file>